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3A46C" w14:textId="64A05A21" w:rsidR="002609F8" w:rsidRDefault="002609F8" w:rsidP="002609F8">
      <w:pPr>
        <w:jc w:val="both"/>
        <w:rPr>
          <w:rFonts w:cs="Arial"/>
          <w:szCs w:val="20"/>
        </w:rPr>
      </w:pPr>
      <w:r>
        <w:rPr>
          <w:rFonts w:cs="Arial"/>
          <w:szCs w:val="20"/>
        </w:rPr>
        <w:t xml:space="preserve">he Government belongs to the Ohio Plan Risk Management, Inc. (OPRM) (the "Plan"), a non-assessable, unincorporated non-profit association providing a formalized, jointly administered self-insurance risk management program and other administrative services to Ohio governments (“Members”).  The Plan is legally separate from its member governments.  </w:t>
      </w:r>
    </w:p>
    <w:p w14:paraId="55E78E3D" w14:textId="77777777" w:rsidR="002609F8" w:rsidRDefault="002609F8" w:rsidP="002609F8">
      <w:pPr>
        <w:jc w:val="both"/>
        <w:rPr>
          <w:rFonts w:cs="Arial"/>
          <w:szCs w:val="20"/>
        </w:rPr>
      </w:pPr>
    </w:p>
    <w:p w14:paraId="2F488D2F" w14:textId="77777777" w:rsidR="002609F8" w:rsidRDefault="002609F8" w:rsidP="002609F8">
      <w:pPr>
        <w:jc w:val="both"/>
        <w:rPr>
          <w:rFonts w:cs="Arial"/>
          <w:szCs w:val="20"/>
        </w:rPr>
      </w:pPr>
      <w:r>
        <w:rPr>
          <w:rFonts w:cs="Arial"/>
          <w:szCs w:val="20"/>
        </w:rPr>
        <w:t xml:space="preserve">Pursuant to Section 2744.081 of the Ohio Revised Code, the plan provides property, liability, errors and omissions, law enforcement, automobile, excess liability, crime, surety and bond, inland marine and other coverages to its members sold through fourteen appointed independent agents in the State of Ohio. </w:t>
      </w:r>
    </w:p>
    <w:p w14:paraId="0D5D0172" w14:textId="77777777" w:rsidR="002609F8" w:rsidRDefault="002609F8" w:rsidP="002609F8">
      <w:pPr>
        <w:jc w:val="both"/>
        <w:rPr>
          <w:rFonts w:cs="Arial"/>
          <w:szCs w:val="20"/>
        </w:rPr>
      </w:pPr>
    </w:p>
    <w:p w14:paraId="440D1CD3" w14:textId="691F2BC7" w:rsidR="002609F8" w:rsidRDefault="002609F8" w:rsidP="001628E6">
      <w:pPr>
        <w:pStyle w:val="CommentText"/>
        <w:rPr>
          <w:rFonts w:cs="Arial"/>
        </w:rPr>
      </w:pPr>
      <w:r>
        <w:rPr>
          <w:rFonts w:cs="Arial"/>
        </w:rPr>
        <w:t xml:space="preserve">OPRM coverage programs are developed specific to each member’s risk management needs and the related premiums for coverage are determined through the application of uniform underwriting criteria addressing the member’s exposure to loss. </w:t>
      </w:r>
      <w:r w:rsidRPr="001628E6">
        <w:rPr>
          <w:rFonts w:cs="Arial"/>
        </w:rPr>
        <w:t>Effective November 1, 201</w:t>
      </w:r>
      <w:r w:rsidR="00A63BDA" w:rsidRPr="001628E6">
        <w:rPr>
          <w:rFonts w:cs="Arial"/>
        </w:rPr>
        <w:t>7</w:t>
      </w:r>
      <w:r w:rsidRPr="001628E6">
        <w:rPr>
          <w:rFonts w:cs="Arial"/>
        </w:rPr>
        <w:t xml:space="preserve">, the OPRM retained </w:t>
      </w:r>
      <w:r w:rsidR="005622DA" w:rsidRPr="001628E6">
        <w:rPr>
          <w:rFonts w:cs="Arial"/>
        </w:rPr>
        <w:t>47</w:t>
      </w:r>
      <w:r w:rsidRPr="001628E6">
        <w:rPr>
          <w:rFonts w:cs="Arial"/>
        </w:rPr>
        <w:t>% of the premium and losses on the first $250,000 casualty treaty and 30% of the first $1,000,000 property treaty.</w:t>
      </w:r>
      <w:r w:rsidR="001628E6">
        <w:rPr>
          <w:rFonts w:cs="Arial"/>
        </w:rPr>
        <w:t xml:space="preserve"> </w:t>
      </w:r>
      <w:r w:rsidR="001628E6" w:rsidRPr="001628E6">
        <w:t>The OPRM is also participat</w:t>
      </w:r>
      <w:r w:rsidR="003D4BA3">
        <w:t>ed</w:t>
      </w:r>
      <w:r w:rsidR="001628E6" w:rsidRPr="001628E6">
        <w:t xml:space="preserve"> in a property primary excess of loss treaty.  This treaty reimburse</w:t>
      </w:r>
      <w:r w:rsidR="003D4BA3">
        <w:t>d</w:t>
      </w:r>
      <w:r w:rsidR="001628E6" w:rsidRPr="001628E6">
        <w:t xml:space="preserve"> the OPRM 30% for losses between $200,000 and $1,000,000.  The reimbursement is based on the amount of loss between $200,000 and $1,000,000.</w:t>
      </w:r>
      <w:r w:rsidR="003D4BA3">
        <w:t xml:space="preserve"> </w:t>
      </w:r>
      <w:r w:rsidR="008E7FB5">
        <w:rPr>
          <w:rFonts w:cs="Arial"/>
        </w:rPr>
        <w:t xml:space="preserve">Effective November 1, 2018, the OPRM the property retention remained unchanged, however, the Plan assumed 100% of the first $250,000 casualty treaty. </w:t>
      </w:r>
      <w:r>
        <w:rPr>
          <w:rFonts w:cs="Arial"/>
        </w:rPr>
        <w:t>Members are only responsible for their self-retention (deductible) amounts, which vary from member to member.</w:t>
      </w:r>
      <w:r w:rsidR="001628E6">
        <w:rPr>
          <w:rFonts w:cs="Arial"/>
        </w:rPr>
        <w:t xml:space="preserve"> </w:t>
      </w:r>
      <w:r>
        <w:rPr>
          <w:rFonts w:cs="Arial"/>
        </w:rPr>
        <w:t xml:space="preserve"> </w:t>
      </w:r>
      <w:r w:rsidR="001628E6" w:rsidRPr="001628E6">
        <w:t>Effective November 1, 2019, the OPRM’s property retention increased from 30% to 33%, while the casualty treaty remains unchanged and still assumes 100% of the first $250,000 casualty treaty.</w:t>
      </w:r>
      <w:r w:rsidR="001628E6">
        <w:t xml:space="preserve"> </w:t>
      </w:r>
      <w:r w:rsidR="00735A43">
        <w:t>Effective November 1, 2020, t</w:t>
      </w:r>
      <w:r w:rsidR="00735A43" w:rsidRPr="001628E6">
        <w:t>he OPRM’s property retention increased from 3</w:t>
      </w:r>
      <w:r w:rsidR="00735A43">
        <w:t>3</w:t>
      </w:r>
      <w:r w:rsidR="00735A43" w:rsidRPr="001628E6">
        <w:t xml:space="preserve">% to </w:t>
      </w:r>
      <w:r w:rsidR="00735A43">
        <w:t>55</w:t>
      </w:r>
      <w:r w:rsidR="00735A43" w:rsidRPr="001628E6">
        <w:t xml:space="preserve">%, while the casualty treaty remains unchanged and still assumes 100% of the first </w:t>
      </w:r>
      <w:bookmarkStart w:id="0" w:name="_GoBack"/>
      <w:bookmarkEnd w:id="0"/>
      <w:r w:rsidR="00735A43" w:rsidRPr="001628E6">
        <w:t>$250,000 casualty treaty</w:t>
      </w:r>
      <w:r w:rsidR="00735A43">
        <w:t xml:space="preserve">. </w:t>
      </w:r>
      <w:r>
        <w:rPr>
          <w:rFonts w:cs="Arial"/>
        </w:rPr>
        <w:t xml:space="preserve">OPRM had </w:t>
      </w:r>
      <w:r w:rsidRPr="00735A43">
        <w:rPr>
          <w:rFonts w:cs="Arial"/>
        </w:rPr>
        <w:t>7</w:t>
      </w:r>
      <w:r w:rsidR="008E7FB5" w:rsidRPr="00735A43">
        <w:rPr>
          <w:rFonts w:cs="Arial"/>
        </w:rPr>
        <w:t>7</w:t>
      </w:r>
      <w:r w:rsidR="00735A43">
        <w:rPr>
          <w:rFonts w:cs="Arial"/>
        </w:rPr>
        <w:t>1</w:t>
      </w:r>
      <w:r>
        <w:rPr>
          <w:rFonts w:cs="Arial"/>
        </w:rPr>
        <w:t xml:space="preserve"> members as of </w:t>
      </w:r>
      <w:r w:rsidRPr="00735A43">
        <w:rPr>
          <w:rFonts w:cs="Arial"/>
        </w:rPr>
        <w:t>December 31, 20</w:t>
      </w:r>
      <w:r w:rsidR="00735A43" w:rsidRPr="00735A43">
        <w:rPr>
          <w:rFonts w:cs="Arial"/>
        </w:rPr>
        <w:t>20</w:t>
      </w:r>
      <w:r>
        <w:rPr>
          <w:rFonts w:cs="Arial"/>
        </w:rPr>
        <w:t xml:space="preserve">. </w:t>
      </w:r>
    </w:p>
    <w:p w14:paraId="46179D26" w14:textId="77777777" w:rsidR="002609F8" w:rsidRPr="00E91C1D" w:rsidRDefault="002609F8" w:rsidP="002609F8">
      <w:pPr>
        <w:jc w:val="both"/>
        <w:rPr>
          <w:rFonts w:cs="Arial"/>
          <w:i/>
          <w:szCs w:val="20"/>
        </w:rPr>
      </w:pPr>
    </w:p>
    <w:p w14:paraId="12F4941F" w14:textId="07C07FDE" w:rsidR="002609F8" w:rsidRDefault="002609F8" w:rsidP="002609F8">
      <w:pPr>
        <w:suppressAutoHyphens/>
        <w:spacing w:line="240" w:lineRule="atLeast"/>
        <w:rPr>
          <w:rFonts w:cs="Arial"/>
          <w:szCs w:val="20"/>
        </w:rPr>
      </w:pPr>
      <w:r>
        <w:rPr>
          <w:rFonts w:cs="Arial"/>
          <w:szCs w:val="20"/>
        </w:rPr>
        <w:t>The Pool’s audited financial statements conform with generally accepted accounting principles, and reported the following assets, liabilities and equity at D</w:t>
      </w:r>
      <w:r w:rsidRPr="00735A43">
        <w:rPr>
          <w:rFonts w:cs="Arial"/>
          <w:szCs w:val="20"/>
        </w:rPr>
        <w:t>ecember 31, 20</w:t>
      </w:r>
      <w:r w:rsidR="00735A43" w:rsidRPr="00735A43">
        <w:rPr>
          <w:rFonts w:cs="Arial"/>
          <w:szCs w:val="20"/>
        </w:rPr>
        <w:t>20</w:t>
      </w:r>
      <w:r>
        <w:rPr>
          <w:rFonts w:cs="Arial"/>
          <w:szCs w:val="20"/>
        </w:rPr>
        <w:t>.</w:t>
      </w:r>
    </w:p>
    <w:p w14:paraId="4BE33085" w14:textId="77777777" w:rsidR="002609F8" w:rsidRDefault="002609F8" w:rsidP="002609F8">
      <w:pPr>
        <w:suppressAutoHyphens/>
        <w:spacing w:line="240" w:lineRule="atLeast"/>
        <w:rPr>
          <w:rFonts w:cs="Arial"/>
          <w:szCs w:val="20"/>
        </w:rPr>
      </w:pPr>
    </w:p>
    <w:p w14:paraId="65C92E30" w14:textId="77777777" w:rsidR="002609F8" w:rsidRDefault="00A63BDA" w:rsidP="00A63BDA">
      <w:pPr>
        <w:suppressAutoHyphens/>
        <w:spacing w:line="240" w:lineRule="atLeast"/>
        <w:jc w:val="center"/>
        <w:rPr>
          <w:rFonts w:cs="Arial"/>
          <w:szCs w:val="20"/>
          <w:u w:val="single"/>
        </w:rPr>
      </w:pPr>
      <w:r>
        <w:rPr>
          <w:rFonts w:cs="Arial"/>
          <w:szCs w:val="20"/>
          <w:u w:val="single"/>
        </w:rPr>
        <w:t xml:space="preserve">    </w:t>
      </w:r>
    </w:p>
    <w:p w14:paraId="71FDD967" w14:textId="0C872004" w:rsidR="002609F8" w:rsidRDefault="002609F8" w:rsidP="00A63BDA">
      <w:pPr>
        <w:suppressAutoHyphens/>
        <w:spacing w:line="240" w:lineRule="atLeast"/>
        <w:jc w:val="both"/>
        <w:rPr>
          <w:rFonts w:cs="Arial"/>
          <w:szCs w:val="20"/>
        </w:rPr>
      </w:pPr>
      <w:r>
        <w:rPr>
          <w:rFonts w:cs="Arial"/>
          <w:szCs w:val="20"/>
        </w:rPr>
        <w:tab/>
      </w:r>
      <w:r>
        <w:rPr>
          <w:rFonts w:cs="Arial"/>
          <w:szCs w:val="20"/>
        </w:rPr>
        <w:tab/>
      </w:r>
      <w:r>
        <w:rPr>
          <w:rFonts w:cs="Arial"/>
          <w:szCs w:val="20"/>
        </w:rPr>
        <w:tab/>
      </w:r>
      <w:r>
        <w:rPr>
          <w:rFonts w:cs="Arial"/>
          <w:szCs w:val="20"/>
        </w:rPr>
        <w:tab/>
        <w:t xml:space="preserve">Assets                   </w:t>
      </w:r>
      <w:r w:rsidR="00B247E5">
        <w:rPr>
          <w:rFonts w:cs="Arial"/>
          <w:szCs w:val="20"/>
        </w:rPr>
        <w:t xml:space="preserve">    </w:t>
      </w:r>
      <w:r>
        <w:rPr>
          <w:rFonts w:cs="Arial"/>
          <w:szCs w:val="20"/>
        </w:rPr>
        <w:t>$</w:t>
      </w:r>
      <w:r w:rsidR="001628E6">
        <w:rPr>
          <w:rFonts w:cs="Arial"/>
          <w:szCs w:val="20"/>
        </w:rPr>
        <w:t xml:space="preserve"> 1</w:t>
      </w:r>
      <w:r w:rsidR="00735A43">
        <w:rPr>
          <w:rFonts w:cs="Arial"/>
          <w:szCs w:val="20"/>
        </w:rPr>
        <w:t>8,826,974</w:t>
      </w:r>
    </w:p>
    <w:p w14:paraId="328A28D3" w14:textId="7EA93DEE" w:rsidR="002609F8" w:rsidRDefault="002609F8" w:rsidP="00A63BDA">
      <w:pPr>
        <w:suppressAutoHyphens/>
        <w:spacing w:line="240" w:lineRule="atLeast"/>
        <w:jc w:val="both"/>
        <w:rPr>
          <w:rFonts w:cs="Arial"/>
          <w:szCs w:val="20"/>
          <w:u w:val="single"/>
        </w:rPr>
      </w:pPr>
      <w:r>
        <w:rPr>
          <w:rFonts w:cs="Arial"/>
          <w:szCs w:val="20"/>
        </w:rPr>
        <w:tab/>
      </w:r>
      <w:r>
        <w:rPr>
          <w:rFonts w:cs="Arial"/>
          <w:szCs w:val="20"/>
        </w:rPr>
        <w:tab/>
      </w:r>
      <w:r>
        <w:rPr>
          <w:rFonts w:cs="Arial"/>
          <w:szCs w:val="20"/>
        </w:rPr>
        <w:tab/>
      </w:r>
      <w:r>
        <w:rPr>
          <w:rFonts w:cs="Arial"/>
          <w:szCs w:val="20"/>
        </w:rPr>
        <w:tab/>
        <w:t xml:space="preserve">Liabilities              </w:t>
      </w:r>
      <w:r w:rsidR="00B247E5">
        <w:rPr>
          <w:rFonts w:cs="Arial"/>
          <w:szCs w:val="20"/>
        </w:rPr>
        <w:t xml:space="preserve">    </w:t>
      </w:r>
      <w:r>
        <w:rPr>
          <w:rFonts w:cs="Arial"/>
          <w:szCs w:val="20"/>
        </w:rPr>
        <w:t xml:space="preserve"> </w:t>
      </w:r>
      <w:r w:rsidR="008E7FB5">
        <w:rPr>
          <w:rFonts w:cs="Arial"/>
          <w:szCs w:val="20"/>
        </w:rPr>
        <w:t xml:space="preserve"> </w:t>
      </w:r>
      <w:r>
        <w:rPr>
          <w:rFonts w:cs="Arial"/>
          <w:szCs w:val="20"/>
          <w:u w:val="single"/>
        </w:rPr>
        <w:t>(</w:t>
      </w:r>
      <w:r w:rsidR="001628E6">
        <w:rPr>
          <w:rFonts w:cs="Arial"/>
          <w:szCs w:val="20"/>
          <w:u w:val="single"/>
        </w:rPr>
        <w:t xml:space="preserve"> </w:t>
      </w:r>
      <w:r w:rsidR="008E7FB5">
        <w:rPr>
          <w:rFonts w:cs="Arial"/>
          <w:szCs w:val="20"/>
          <w:u w:val="single"/>
        </w:rPr>
        <w:t>1</w:t>
      </w:r>
      <w:r w:rsidR="00735A43">
        <w:rPr>
          <w:rFonts w:cs="Arial"/>
          <w:szCs w:val="20"/>
          <w:u w:val="single"/>
        </w:rPr>
        <w:t>3,530,267</w:t>
      </w:r>
      <w:r>
        <w:rPr>
          <w:rFonts w:cs="Arial"/>
          <w:szCs w:val="20"/>
          <w:u w:val="single"/>
        </w:rPr>
        <w:t>)</w:t>
      </w:r>
    </w:p>
    <w:p w14:paraId="794CE969" w14:textId="7AED1FDE" w:rsidR="002609F8" w:rsidRDefault="002609F8" w:rsidP="002609F8">
      <w:pPr>
        <w:jc w:val="both"/>
        <w:rPr>
          <w:rFonts w:cs="Arial"/>
          <w:szCs w:val="20"/>
        </w:rPr>
      </w:pPr>
      <w:r>
        <w:rPr>
          <w:rFonts w:cs="Arial"/>
          <w:szCs w:val="20"/>
        </w:rPr>
        <w:t xml:space="preserve">                                               </w:t>
      </w:r>
      <w:r w:rsidR="00B247E5">
        <w:rPr>
          <w:rFonts w:cs="Arial"/>
          <w:szCs w:val="20"/>
        </w:rPr>
        <w:t xml:space="preserve">    </w:t>
      </w:r>
      <w:r>
        <w:rPr>
          <w:rFonts w:cs="Arial"/>
          <w:szCs w:val="20"/>
        </w:rPr>
        <w:t xml:space="preserve"> Members’ Equity   </w:t>
      </w:r>
      <w:r w:rsidR="005622DA">
        <w:rPr>
          <w:rFonts w:cs="Arial"/>
          <w:szCs w:val="20"/>
        </w:rPr>
        <w:t xml:space="preserve">   </w:t>
      </w:r>
      <w:r>
        <w:rPr>
          <w:rFonts w:cs="Arial"/>
          <w:szCs w:val="20"/>
        </w:rPr>
        <w:t xml:space="preserve"> </w:t>
      </w:r>
      <w:r>
        <w:rPr>
          <w:rFonts w:cs="Arial"/>
          <w:szCs w:val="20"/>
          <w:u w:val="double"/>
        </w:rPr>
        <w:t xml:space="preserve">$  </w:t>
      </w:r>
      <w:r w:rsidR="001628E6">
        <w:rPr>
          <w:rFonts w:cs="Arial"/>
          <w:szCs w:val="20"/>
          <w:u w:val="double"/>
        </w:rPr>
        <w:t xml:space="preserve"> </w:t>
      </w:r>
      <w:r w:rsidR="00735A43">
        <w:rPr>
          <w:rFonts w:cs="Arial"/>
          <w:szCs w:val="20"/>
          <w:u w:val="double"/>
        </w:rPr>
        <w:t>5,296,707</w:t>
      </w:r>
      <w:r>
        <w:rPr>
          <w:rFonts w:cs="Arial"/>
          <w:szCs w:val="20"/>
        </w:rPr>
        <w:t xml:space="preserve">    </w:t>
      </w:r>
    </w:p>
    <w:tbl>
      <w:tblPr>
        <w:tblW w:w="5600" w:type="dxa"/>
        <w:tblInd w:w="1980" w:type="dxa"/>
        <w:tblCellMar>
          <w:left w:w="0" w:type="dxa"/>
          <w:right w:w="0" w:type="dxa"/>
        </w:tblCellMar>
        <w:tblLook w:val="04A0" w:firstRow="1" w:lastRow="0" w:firstColumn="1" w:lastColumn="0" w:noHBand="0" w:noVBand="1"/>
      </w:tblPr>
      <w:tblGrid>
        <w:gridCol w:w="1880"/>
        <w:gridCol w:w="1240"/>
        <w:gridCol w:w="1240"/>
        <w:gridCol w:w="1240"/>
      </w:tblGrid>
      <w:tr w:rsidR="001628E6" w14:paraId="753612DF" w14:textId="77777777" w:rsidTr="001628E6">
        <w:trPr>
          <w:trHeight w:val="255"/>
        </w:trPr>
        <w:tc>
          <w:tcPr>
            <w:tcW w:w="1880" w:type="dxa"/>
            <w:noWrap/>
            <w:tcMar>
              <w:top w:w="15" w:type="dxa"/>
              <w:left w:w="15" w:type="dxa"/>
              <w:bottom w:w="0" w:type="dxa"/>
              <w:right w:w="15" w:type="dxa"/>
            </w:tcMar>
            <w:vAlign w:val="bottom"/>
            <w:hideMark/>
          </w:tcPr>
          <w:p w14:paraId="16A35B48" w14:textId="77777777" w:rsidR="001628E6" w:rsidRDefault="001628E6"/>
        </w:tc>
        <w:tc>
          <w:tcPr>
            <w:tcW w:w="1240" w:type="dxa"/>
            <w:noWrap/>
            <w:tcMar>
              <w:top w:w="15" w:type="dxa"/>
              <w:left w:w="15" w:type="dxa"/>
              <w:bottom w:w="0" w:type="dxa"/>
              <w:right w:w="15" w:type="dxa"/>
            </w:tcMar>
            <w:vAlign w:val="bottom"/>
            <w:hideMark/>
          </w:tcPr>
          <w:p w14:paraId="13F18FA2" w14:textId="77777777" w:rsidR="001628E6" w:rsidRDefault="001628E6"/>
        </w:tc>
        <w:tc>
          <w:tcPr>
            <w:tcW w:w="1240" w:type="dxa"/>
          </w:tcPr>
          <w:p w14:paraId="351FEF5A" w14:textId="77777777" w:rsidR="001628E6" w:rsidRDefault="001628E6">
            <w:pPr>
              <w:rPr>
                <w:rFonts w:cs="Arial"/>
                <w:b/>
                <w:bCs/>
                <w:color w:val="000000"/>
                <w:szCs w:val="20"/>
              </w:rPr>
            </w:pPr>
          </w:p>
        </w:tc>
        <w:tc>
          <w:tcPr>
            <w:tcW w:w="1240" w:type="dxa"/>
            <w:vAlign w:val="bottom"/>
          </w:tcPr>
          <w:p w14:paraId="252E1DB3" w14:textId="77777777" w:rsidR="001628E6" w:rsidRDefault="001628E6">
            <w:pPr>
              <w:rPr>
                <w:rFonts w:cs="Arial"/>
                <w:b/>
                <w:bCs/>
                <w:color w:val="000000"/>
                <w:szCs w:val="20"/>
              </w:rPr>
            </w:pPr>
          </w:p>
        </w:tc>
      </w:tr>
    </w:tbl>
    <w:p w14:paraId="367EF3B7" w14:textId="77777777" w:rsidR="002609F8" w:rsidRDefault="002609F8" w:rsidP="002609F8">
      <w:pPr>
        <w:jc w:val="both"/>
        <w:rPr>
          <w:rFonts w:cs="Arial"/>
        </w:rPr>
      </w:pPr>
      <w:r>
        <w:rPr>
          <w:rFonts w:cs="Arial"/>
          <w:szCs w:val="20"/>
        </w:rPr>
        <w:t xml:space="preserve">You can read the complete audited financial statements for OPRM at the Plan’s website, </w:t>
      </w:r>
      <w:r>
        <w:rPr>
          <w:rFonts w:cs="Arial"/>
          <w:szCs w:val="20"/>
          <w:u w:val="single"/>
        </w:rPr>
        <w:t>www.ohioplan.org</w:t>
      </w:r>
      <w:r>
        <w:rPr>
          <w:rFonts w:cs="Arial"/>
          <w:szCs w:val="20"/>
        </w:rPr>
        <w:t>.</w:t>
      </w:r>
    </w:p>
    <w:p w14:paraId="3F589350" w14:textId="77777777" w:rsidR="002609F8" w:rsidRDefault="002609F8" w:rsidP="002609F8"/>
    <w:p w14:paraId="44184A1D" w14:textId="77777777" w:rsidR="002A132D" w:rsidRDefault="002A132D"/>
    <w:sectPr w:rsidR="002A1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F8"/>
    <w:rsid w:val="001628E6"/>
    <w:rsid w:val="002609F8"/>
    <w:rsid w:val="002A132D"/>
    <w:rsid w:val="003D4BA3"/>
    <w:rsid w:val="005622DA"/>
    <w:rsid w:val="00735A43"/>
    <w:rsid w:val="00751A7B"/>
    <w:rsid w:val="007A4E75"/>
    <w:rsid w:val="00871629"/>
    <w:rsid w:val="00892889"/>
    <w:rsid w:val="008E7FB5"/>
    <w:rsid w:val="00A63BDA"/>
    <w:rsid w:val="00B247E5"/>
    <w:rsid w:val="00DE723C"/>
    <w:rsid w:val="00E91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82A6"/>
  <w15:docId w15:val="{55D41F49-A76E-4B42-BF92-591813D4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9F8"/>
    <w:pPr>
      <w:spacing w:after="0" w:line="240"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28E6"/>
    <w:rPr>
      <w:sz w:val="16"/>
      <w:szCs w:val="16"/>
    </w:rPr>
  </w:style>
  <w:style w:type="paragraph" w:styleId="CommentText">
    <w:name w:val="annotation text"/>
    <w:basedOn w:val="Normal"/>
    <w:link w:val="CommentTextChar"/>
    <w:uiPriority w:val="99"/>
    <w:unhideWhenUsed/>
    <w:rsid w:val="001628E6"/>
    <w:rPr>
      <w:szCs w:val="20"/>
    </w:rPr>
  </w:style>
  <w:style w:type="character" w:customStyle="1" w:styleId="CommentTextChar">
    <w:name w:val="Comment Text Char"/>
    <w:basedOn w:val="DefaultParagraphFont"/>
    <w:link w:val="CommentText"/>
    <w:uiPriority w:val="99"/>
    <w:rsid w:val="001628E6"/>
    <w:rPr>
      <w:rFonts w:cstheme="minorBidi"/>
    </w:rPr>
  </w:style>
  <w:style w:type="paragraph" w:styleId="CommentSubject">
    <w:name w:val="annotation subject"/>
    <w:basedOn w:val="CommentText"/>
    <w:next w:val="CommentText"/>
    <w:link w:val="CommentSubjectChar"/>
    <w:uiPriority w:val="99"/>
    <w:semiHidden/>
    <w:unhideWhenUsed/>
    <w:rsid w:val="001628E6"/>
    <w:rPr>
      <w:b/>
      <w:bCs/>
    </w:rPr>
  </w:style>
  <w:style w:type="character" w:customStyle="1" w:styleId="CommentSubjectChar">
    <w:name w:val="Comment Subject Char"/>
    <w:basedOn w:val="CommentTextChar"/>
    <w:link w:val="CommentSubject"/>
    <w:uiPriority w:val="99"/>
    <w:semiHidden/>
    <w:rsid w:val="001628E6"/>
    <w:rPr>
      <w:rFonts w:cstheme="minorBidi"/>
      <w:b/>
      <w:bCs/>
    </w:rPr>
  </w:style>
  <w:style w:type="paragraph" w:styleId="BalloonText">
    <w:name w:val="Balloon Text"/>
    <w:basedOn w:val="Normal"/>
    <w:link w:val="BalloonTextChar"/>
    <w:uiPriority w:val="99"/>
    <w:semiHidden/>
    <w:unhideWhenUsed/>
    <w:rsid w:val="001628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11b9410e2238f74d9026d975fd0b6b64">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7954f8ca2a5bfbca556f709a48240f7e"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9FA8C-45E2-4D82-A341-A394CA9D4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E77A4-F37F-4100-A113-58236D4683FC}">
  <ds:schemaRefs>
    <ds:schemaRef ds:uri="http://schemas.microsoft.com/sharepoint/v3/contenttype/forms"/>
  </ds:schemaRefs>
</ds:datastoreItem>
</file>

<file path=customXml/itemProps3.xml><?xml version="1.0" encoding="utf-8"?>
<ds:datastoreItem xmlns:ds="http://schemas.openxmlformats.org/officeDocument/2006/customXml" ds:itemID="{3FB65F7C-97E8-4348-982B-C1804912F51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e4091d6-ac26-408d-9936-3b28227d19d9"/>
    <ds:schemaRef ds:uri="http://purl.org/dc/elements/1.1/"/>
    <ds:schemaRef ds:uri="http://schemas.microsoft.com/office/2006/metadata/properties"/>
    <ds:schemaRef ds:uri="368cc7de-4582-4402-8653-1f6c5fcb982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J. Wagner</dc:creator>
  <cp:lastModifiedBy>Timothy J. Wagner</cp:lastModifiedBy>
  <cp:revision>3</cp:revision>
  <cp:lastPrinted>2018-09-04T13:24:00Z</cp:lastPrinted>
  <dcterms:created xsi:type="dcterms:W3CDTF">2021-06-30T15:32:00Z</dcterms:created>
  <dcterms:modified xsi:type="dcterms:W3CDTF">2021-06-30T15:52:00Z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